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B7A6" w14:textId="77777777" w:rsidR="00B03AAE" w:rsidRDefault="00000000">
      <w:pPr>
        <w:pStyle w:val="Heading1"/>
      </w:pPr>
      <w:r>
        <w:t>Data Destruction and Retention Policy</w:t>
      </w:r>
    </w:p>
    <w:p w14:paraId="29DD10CE" w14:textId="440F1856" w:rsidR="00B03AAE" w:rsidRDefault="00000000">
      <w:r>
        <w:t xml:space="preserve">Effective Date: October 29, </w:t>
      </w:r>
      <w:proofErr w:type="gramStart"/>
      <w:r>
        <w:t>2025</w:t>
      </w:r>
      <w:proofErr w:type="gramEnd"/>
      <w:r w:rsidR="00D030A6">
        <w:t xml:space="preserve"> </w:t>
      </w:r>
      <w:r>
        <w:br/>
        <w:t>Applies To: All data, systems, and personnel of Kingfield Software.</w:t>
      </w:r>
    </w:p>
    <w:p w14:paraId="20DA7CD7" w14:textId="77777777" w:rsidR="00B03AAE" w:rsidRDefault="00000000">
      <w:pPr>
        <w:pStyle w:val="Heading2"/>
      </w:pPr>
      <w:r>
        <w:t>1. Purpose</w:t>
      </w:r>
    </w:p>
    <w:p w14:paraId="78F3FAF3" w14:textId="77777777" w:rsidR="00B03AAE" w:rsidRDefault="00000000">
      <w:r>
        <w:t>This Policy establishes Kingfield Software's rules for retaining and securely destroying data to meet legal, regulatory, and contractual obligations, reduce risk, and protect the confidentiality, integrity, and availability of information. It defines minimum retention periods, approved destruction methods, and the roles responsible for oversight and execution.</w:t>
      </w:r>
    </w:p>
    <w:p w14:paraId="42EF3AFB" w14:textId="77777777" w:rsidR="00B03AAE" w:rsidRDefault="00000000">
      <w:pPr>
        <w:pStyle w:val="Heading2"/>
      </w:pPr>
      <w:r>
        <w:t>2. Scope</w:t>
      </w:r>
    </w:p>
    <w:p w14:paraId="6EB68F04" w14:textId="77777777" w:rsidR="00B03AAE" w:rsidRDefault="00000000">
      <w:r>
        <w:t>This Policy applies to all information created, received, processed, or stored by the Company, regardless of format (electronic, paper, physical media), including production systems, backups, logs, collaboration tools, and third-party/SaaS platforms. It covers employees, contractors, and service providers.</w:t>
      </w:r>
    </w:p>
    <w:p w14:paraId="6C997281" w14:textId="77777777" w:rsidR="00B03AAE" w:rsidRDefault="00000000">
      <w:pPr>
        <w:pStyle w:val="Heading2"/>
      </w:pPr>
      <w:r>
        <w:t>3. Definitions</w:t>
      </w:r>
    </w:p>
    <w:p w14:paraId="55CAA7FD" w14:textId="77777777" w:rsidR="00B03AAE" w:rsidRDefault="00000000">
      <w:pPr>
        <w:pStyle w:val="ListBullet"/>
      </w:pPr>
      <w:r>
        <w:t>Personal Data: Information relating to an identified or identifiable individual.</w:t>
      </w:r>
    </w:p>
    <w:p w14:paraId="5A9B68C1" w14:textId="77777777" w:rsidR="00B03AAE" w:rsidRDefault="00000000">
      <w:pPr>
        <w:pStyle w:val="ListBullet"/>
      </w:pPr>
      <w:r>
        <w:t>Record: Information created, received, and maintained as evidence of business activities.</w:t>
      </w:r>
    </w:p>
    <w:p w14:paraId="170E97C5" w14:textId="77777777" w:rsidR="00B03AAE" w:rsidRDefault="00000000">
      <w:pPr>
        <w:pStyle w:val="ListBullet"/>
      </w:pPr>
      <w:r>
        <w:t>Retention Period: The minimum time a record must be kept before destruction.</w:t>
      </w:r>
    </w:p>
    <w:p w14:paraId="25E12A5F" w14:textId="77777777" w:rsidR="00B03AAE" w:rsidRDefault="00000000">
      <w:pPr>
        <w:pStyle w:val="ListBullet"/>
      </w:pPr>
      <w:r>
        <w:t>Destruction: Rendering data unreadable, indecipherable, and irrecoverable.</w:t>
      </w:r>
    </w:p>
    <w:p w14:paraId="4A235521" w14:textId="77777777" w:rsidR="00B03AAE" w:rsidRDefault="00000000">
      <w:pPr>
        <w:pStyle w:val="Heading2"/>
      </w:pPr>
      <w:r>
        <w:t>4. Roles and Responsibilities</w:t>
      </w:r>
    </w:p>
    <w:p w14:paraId="4885ABEE" w14:textId="77777777" w:rsidR="00B03AAE" w:rsidRDefault="00000000">
      <w:pPr>
        <w:pStyle w:val="ListBullet"/>
      </w:pPr>
      <w:r>
        <w:t>Information Security Officer (ISO): Maintains this Policy; ensures controls exist for secure storage, retention, and destruction.</w:t>
      </w:r>
    </w:p>
    <w:p w14:paraId="4B21943D" w14:textId="77777777" w:rsidR="00B03AAE" w:rsidRDefault="00000000">
      <w:pPr>
        <w:pStyle w:val="ListBullet"/>
      </w:pPr>
      <w:r>
        <w:t>Data Owners: Define retention needs for their domains; approve destruction of records at end-of-life.</w:t>
      </w:r>
    </w:p>
    <w:p w14:paraId="6240CCA3" w14:textId="77777777" w:rsidR="00B03AAE" w:rsidRDefault="00000000">
      <w:pPr>
        <w:pStyle w:val="ListBullet"/>
      </w:pPr>
      <w:r>
        <w:t>Legal/Compliance: Defines legal holds; validates retention with laws, regulations, and contracts.</w:t>
      </w:r>
    </w:p>
    <w:p w14:paraId="6AF7794E" w14:textId="77777777" w:rsidR="00B03AAE" w:rsidRDefault="00000000">
      <w:pPr>
        <w:pStyle w:val="ListBullet"/>
      </w:pPr>
      <w:r>
        <w:t>IT / DevOps: Implements technical controls; manages backups and destruction workflows; maintains logs of destruction and access.</w:t>
      </w:r>
    </w:p>
    <w:p w14:paraId="32F59B59" w14:textId="77777777" w:rsidR="00B03AAE" w:rsidRDefault="00000000">
      <w:pPr>
        <w:pStyle w:val="ListBullet"/>
      </w:pPr>
      <w:r>
        <w:t>Vendors/Processors: Follow this Policy or equivalent; provide Certificates of Destruction when disposing of Company data.</w:t>
      </w:r>
    </w:p>
    <w:p w14:paraId="13558279" w14:textId="77777777" w:rsidR="00B03AAE" w:rsidRDefault="00000000">
      <w:pPr>
        <w:pStyle w:val="ListBullet"/>
      </w:pPr>
      <w:r>
        <w:t>Employees: Handle data per classification and retention schedule; report issues or suspected policy violations.</w:t>
      </w:r>
    </w:p>
    <w:p w14:paraId="527B06F7" w14:textId="77777777" w:rsidR="00B03AAE" w:rsidRDefault="00000000">
      <w:pPr>
        <w:pStyle w:val="Heading2"/>
      </w:pPr>
      <w:r>
        <w:t>5. Data Classification</w:t>
      </w:r>
    </w:p>
    <w:p w14:paraId="54C7159C" w14:textId="77777777" w:rsidR="00B03AAE" w:rsidRDefault="00000000">
      <w:r>
        <w:t xml:space="preserve">Retention and destruction requirements are aligned to the Company’s Data Classification &amp; Handling Policy. At minimum, data is classified into: </w:t>
      </w:r>
    </w:p>
    <w:p w14:paraId="7494E061" w14:textId="77777777" w:rsidR="00B03AAE" w:rsidRDefault="00000000">
      <w:pPr>
        <w:pStyle w:val="ListBullet"/>
      </w:pPr>
      <w:r>
        <w:lastRenderedPageBreak/>
        <w:t>Public: Intended for public disclosure.</w:t>
      </w:r>
    </w:p>
    <w:p w14:paraId="0E70D9DC" w14:textId="77777777" w:rsidR="00B03AAE" w:rsidRDefault="00000000">
      <w:pPr>
        <w:pStyle w:val="ListBullet"/>
      </w:pPr>
      <w:r>
        <w:t>Internal: Non-public operational information.</w:t>
      </w:r>
    </w:p>
    <w:p w14:paraId="1A6280B3" w14:textId="77777777" w:rsidR="00B03AAE" w:rsidRDefault="00000000">
      <w:pPr>
        <w:pStyle w:val="ListBullet"/>
      </w:pPr>
      <w:r>
        <w:t>Confidential: Business-sensitive data; limited to need-to-know access.</w:t>
      </w:r>
    </w:p>
    <w:p w14:paraId="4FF01A35" w14:textId="77777777" w:rsidR="00B03AAE" w:rsidRDefault="00000000">
      <w:pPr>
        <w:pStyle w:val="ListBullet"/>
      </w:pPr>
      <w:r>
        <w:t>Restricted: Highly sensitive data (e.g., secrets, credentials, regulated personal data).</w:t>
      </w:r>
    </w:p>
    <w:p w14:paraId="492A5286" w14:textId="77777777" w:rsidR="00B03AAE" w:rsidRDefault="00000000">
      <w:pPr>
        <w:pStyle w:val="Heading2"/>
      </w:pPr>
      <w:r>
        <w:t>6. Retention Schedule (Summary)</w:t>
      </w:r>
    </w:p>
    <w:p w14:paraId="77ACAE66" w14:textId="77777777" w:rsidR="00B03AAE" w:rsidRDefault="00000000">
      <w:r>
        <w:t>The following table provides baseline retention periods. System- or jurisdiction-specific requirements may override these baselines; see departmental procedures and legal guidance for details.</w:t>
      </w:r>
    </w:p>
    <w:tbl>
      <w:tblPr>
        <w:tblW w:w="0" w:type="auto"/>
        <w:tblLook w:val="04A0" w:firstRow="1" w:lastRow="0" w:firstColumn="1" w:lastColumn="0" w:noHBand="0" w:noVBand="1"/>
      </w:tblPr>
      <w:tblGrid>
        <w:gridCol w:w="2144"/>
        <w:gridCol w:w="2153"/>
        <w:gridCol w:w="2417"/>
        <w:gridCol w:w="2142"/>
      </w:tblGrid>
      <w:tr w:rsidR="00B03AAE" w14:paraId="048F3BB6" w14:textId="77777777">
        <w:tc>
          <w:tcPr>
            <w:tcW w:w="2160" w:type="dxa"/>
          </w:tcPr>
          <w:p w14:paraId="36AB8973" w14:textId="77777777" w:rsidR="00B03AAE" w:rsidRDefault="00000000">
            <w:r>
              <w:t>Record Category</w:t>
            </w:r>
          </w:p>
        </w:tc>
        <w:tc>
          <w:tcPr>
            <w:tcW w:w="2160" w:type="dxa"/>
          </w:tcPr>
          <w:p w14:paraId="6DC4C722" w14:textId="77777777" w:rsidR="00B03AAE" w:rsidRDefault="00000000">
            <w:r>
              <w:t>Examples</w:t>
            </w:r>
          </w:p>
        </w:tc>
        <w:tc>
          <w:tcPr>
            <w:tcW w:w="2160" w:type="dxa"/>
          </w:tcPr>
          <w:p w14:paraId="311852B2" w14:textId="77777777" w:rsidR="00B03AAE" w:rsidRDefault="00000000">
            <w:r>
              <w:t>Minimum Retention</w:t>
            </w:r>
          </w:p>
        </w:tc>
        <w:tc>
          <w:tcPr>
            <w:tcW w:w="2160" w:type="dxa"/>
          </w:tcPr>
          <w:p w14:paraId="0D294D82" w14:textId="77777777" w:rsidR="00B03AAE" w:rsidRDefault="00000000">
            <w:r>
              <w:t>Disposition</w:t>
            </w:r>
          </w:p>
        </w:tc>
      </w:tr>
      <w:tr w:rsidR="00B03AAE" w14:paraId="6A0BAEAA" w14:textId="77777777">
        <w:tc>
          <w:tcPr>
            <w:tcW w:w="2160" w:type="dxa"/>
          </w:tcPr>
          <w:p w14:paraId="05F27389" w14:textId="77777777" w:rsidR="00B03AAE" w:rsidRDefault="00000000">
            <w:r>
              <w:t>Customer Contracts &amp; Orders</w:t>
            </w:r>
          </w:p>
        </w:tc>
        <w:tc>
          <w:tcPr>
            <w:tcW w:w="2160" w:type="dxa"/>
          </w:tcPr>
          <w:p w14:paraId="41470E02" w14:textId="77777777" w:rsidR="00B03AAE" w:rsidRDefault="00000000">
            <w:r>
              <w:t>MSA/SOW, order forms, amendments</w:t>
            </w:r>
          </w:p>
        </w:tc>
        <w:tc>
          <w:tcPr>
            <w:tcW w:w="2160" w:type="dxa"/>
          </w:tcPr>
          <w:p w14:paraId="5DF14841" w14:textId="77777777" w:rsidR="00B03AAE" w:rsidRDefault="00000000">
            <w:r>
              <w:t>7 years after termination/expiration</w:t>
            </w:r>
          </w:p>
        </w:tc>
        <w:tc>
          <w:tcPr>
            <w:tcW w:w="2160" w:type="dxa"/>
          </w:tcPr>
          <w:p w14:paraId="0C6DC42D" w14:textId="77777777" w:rsidR="00B03AAE" w:rsidRDefault="00000000">
            <w:r>
              <w:t>Secure destruction after retention; retain if under legal hold</w:t>
            </w:r>
          </w:p>
        </w:tc>
      </w:tr>
      <w:tr w:rsidR="00B03AAE" w14:paraId="3F78444E" w14:textId="77777777">
        <w:tc>
          <w:tcPr>
            <w:tcW w:w="2160" w:type="dxa"/>
          </w:tcPr>
          <w:p w14:paraId="5D389210" w14:textId="77777777" w:rsidR="00B03AAE" w:rsidRDefault="00000000">
            <w:r>
              <w:t>Financial &amp; Tax</w:t>
            </w:r>
          </w:p>
        </w:tc>
        <w:tc>
          <w:tcPr>
            <w:tcW w:w="2160" w:type="dxa"/>
          </w:tcPr>
          <w:p w14:paraId="5E4855A3" w14:textId="77777777" w:rsidR="00B03AAE" w:rsidRDefault="00000000">
            <w:r>
              <w:t>General ledger, invoices, payroll, tax filings</w:t>
            </w:r>
          </w:p>
        </w:tc>
        <w:tc>
          <w:tcPr>
            <w:tcW w:w="2160" w:type="dxa"/>
          </w:tcPr>
          <w:p w14:paraId="180A48A7" w14:textId="77777777" w:rsidR="00B03AAE" w:rsidRDefault="00000000">
            <w:r>
              <w:t>7 years (or as required by law)</w:t>
            </w:r>
          </w:p>
        </w:tc>
        <w:tc>
          <w:tcPr>
            <w:tcW w:w="2160" w:type="dxa"/>
          </w:tcPr>
          <w:p w14:paraId="5D91DA80" w14:textId="77777777" w:rsidR="00B03AAE" w:rsidRDefault="00000000">
            <w:r>
              <w:t>Secure destruction after retention</w:t>
            </w:r>
          </w:p>
        </w:tc>
      </w:tr>
      <w:tr w:rsidR="00B03AAE" w14:paraId="45C77DFA" w14:textId="77777777">
        <w:tc>
          <w:tcPr>
            <w:tcW w:w="2160" w:type="dxa"/>
          </w:tcPr>
          <w:p w14:paraId="03E13C15" w14:textId="77777777" w:rsidR="00B03AAE" w:rsidRDefault="00000000">
            <w:r>
              <w:t>HR &amp; Employment</w:t>
            </w:r>
          </w:p>
        </w:tc>
        <w:tc>
          <w:tcPr>
            <w:tcW w:w="2160" w:type="dxa"/>
          </w:tcPr>
          <w:p w14:paraId="72CA99A3" w14:textId="77777777" w:rsidR="00B03AAE" w:rsidRDefault="00000000">
            <w:r>
              <w:t>Personnel files, I-9, performance records</w:t>
            </w:r>
          </w:p>
        </w:tc>
        <w:tc>
          <w:tcPr>
            <w:tcW w:w="2160" w:type="dxa"/>
          </w:tcPr>
          <w:p w14:paraId="61750244" w14:textId="77777777" w:rsidR="00B03AAE" w:rsidRDefault="00000000">
            <w:r>
              <w:t>3–7 years after termination (see local law)</w:t>
            </w:r>
          </w:p>
        </w:tc>
        <w:tc>
          <w:tcPr>
            <w:tcW w:w="2160" w:type="dxa"/>
          </w:tcPr>
          <w:p w14:paraId="60E4D4E0" w14:textId="77777777" w:rsidR="00B03AAE" w:rsidRDefault="00000000">
            <w:r>
              <w:t>Secure destruction after retention</w:t>
            </w:r>
          </w:p>
        </w:tc>
      </w:tr>
      <w:tr w:rsidR="00B03AAE" w14:paraId="31BDCB7E" w14:textId="77777777">
        <w:tc>
          <w:tcPr>
            <w:tcW w:w="2160" w:type="dxa"/>
          </w:tcPr>
          <w:p w14:paraId="1138A92E" w14:textId="77777777" w:rsidR="00B03AAE" w:rsidRDefault="00000000">
            <w:r>
              <w:t>Security &amp; Audit Logs</w:t>
            </w:r>
          </w:p>
        </w:tc>
        <w:tc>
          <w:tcPr>
            <w:tcW w:w="2160" w:type="dxa"/>
          </w:tcPr>
          <w:p w14:paraId="45BEF685" w14:textId="77777777" w:rsidR="00B03AAE" w:rsidRDefault="00000000">
            <w:r>
              <w:t>App/infra logs, access logs, SIEM exports</w:t>
            </w:r>
          </w:p>
        </w:tc>
        <w:tc>
          <w:tcPr>
            <w:tcW w:w="2160" w:type="dxa"/>
          </w:tcPr>
          <w:p w14:paraId="4A04179E" w14:textId="77777777" w:rsidR="00B03AAE" w:rsidRDefault="00000000">
            <w:r>
              <w:t>12–24 months (per risk/regulatory)</w:t>
            </w:r>
          </w:p>
        </w:tc>
        <w:tc>
          <w:tcPr>
            <w:tcW w:w="2160" w:type="dxa"/>
          </w:tcPr>
          <w:p w14:paraId="1A0AF74C" w14:textId="77777777" w:rsidR="00B03AAE" w:rsidRDefault="00000000">
            <w:r>
              <w:t>Secure destruction after retention</w:t>
            </w:r>
          </w:p>
        </w:tc>
      </w:tr>
      <w:tr w:rsidR="00B03AAE" w14:paraId="4E2C9B9B" w14:textId="77777777">
        <w:tc>
          <w:tcPr>
            <w:tcW w:w="2160" w:type="dxa"/>
          </w:tcPr>
          <w:p w14:paraId="5934730B" w14:textId="77777777" w:rsidR="00B03AAE" w:rsidRDefault="00000000">
            <w:r>
              <w:t>Product &amp; Source Code</w:t>
            </w:r>
          </w:p>
        </w:tc>
        <w:tc>
          <w:tcPr>
            <w:tcW w:w="2160" w:type="dxa"/>
          </w:tcPr>
          <w:p w14:paraId="4C2E57C5" w14:textId="77777777" w:rsidR="00B03AAE" w:rsidRDefault="00000000">
            <w:r>
              <w:t>Repos, build artifacts, release records</w:t>
            </w:r>
          </w:p>
        </w:tc>
        <w:tc>
          <w:tcPr>
            <w:tcW w:w="2160" w:type="dxa"/>
          </w:tcPr>
          <w:p w14:paraId="28E9F430" w14:textId="77777777" w:rsidR="00B03AAE" w:rsidRDefault="00000000">
            <w:r>
              <w:t>Indefinite while product supported; 3 years after EOL</w:t>
            </w:r>
          </w:p>
        </w:tc>
        <w:tc>
          <w:tcPr>
            <w:tcW w:w="2160" w:type="dxa"/>
          </w:tcPr>
          <w:p w14:paraId="3249A430" w14:textId="77777777" w:rsidR="00B03AAE" w:rsidRDefault="00000000">
            <w:r>
              <w:t>Secure archive or destruction</w:t>
            </w:r>
          </w:p>
        </w:tc>
      </w:tr>
      <w:tr w:rsidR="00B03AAE" w14:paraId="6F52BF51" w14:textId="77777777">
        <w:tc>
          <w:tcPr>
            <w:tcW w:w="2160" w:type="dxa"/>
          </w:tcPr>
          <w:p w14:paraId="205A5ECE" w14:textId="77777777" w:rsidR="00B03AAE" w:rsidRDefault="00000000">
            <w:r>
              <w:t>Customer Support Records</w:t>
            </w:r>
          </w:p>
        </w:tc>
        <w:tc>
          <w:tcPr>
            <w:tcW w:w="2160" w:type="dxa"/>
          </w:tcPr>
          <w:p w14:paraId="45F3C1FA" w14:textId="77777777" w:rsidR="00B03AAE" w:rsidRDefault="00000000">
            <w:r>
              <w:t>Tickets, chat transcripts</w:t>
            </w:r>
          </w:p>
        </w:tc>
        <w:tc>
          <w:tcPr>
            <w:tcW w:w="2160" w:type="dxa"/>
          </w:tcPr>
          <w:p w14:paraId="3365760D" w14:textId="77777777" w:rsidR="00B03AAE" w:rsidRDefault="00000000">
            <w:r>
              <w:t>2–3 years</w:t>
            </w:r>
          </w:p>
        </w:tc>
        <w:tc>
          <w:tcPr>
            <w:tcW w:w="2160" w:type="dxa"/>
          </w:tcPr>
          <w:p w14:paraId="566EAF95" w14:textId="77777777" w:rsidR="00B03AAE" w:rsidRDefault="00000000">
            <w:r>
              <w:t>Secure destruction after retention</w:t>
            </w:r>
          </w:p>
        </w:tc>
      </w:tr>
      <w:tr w:rsidR="00B03AAE" w14:paraId="1A74FAA9" w14:textId="77777777">
        <w:tc>
          <w:tcPr>
            <w:tcW w:w="2160" w:type="dxa"/>
          </w:tcPr>
          <w:p w14:paraId="54827E9C" w14:textId="77777777" w:rsidR="00B03AAE" w:rsidRDefault="00000000">
            <w:r>
              <w:t>Backups</w:t>
            </w:r>
          </w:p>
        </w:tc>
        <w:tc>
          <w:tcPr>
            <w:tcW w:w="2160" w:type="dxa"/>
          </w:tcPr>
          <w:p w14:paraId="2D400E00" w14:textId="77777777" w:rsidR="00B03AAE" w:rsidRDefault="00000000">
            <w:r>
              <w:t>Full/incremental backups, snapshots</w:t>
            </w:r>
          </w:p>
        </w:tc>
        <w:tc>
          <w:tcPr>
            <w:tcW w:w="2160" w:type="dxa"/>
          </w:tcPr>
          <w:p w14:paraId="0D65DBFD" w14:textId="77777777" w:rsidR="00B03AAE" w:rsidRDefault="00000000">
            <w:r>
              <w:t>Per backup schedule; see Section 8</w:t>
            </w:r>
          </w:p>
        </w:tc>
        <w:tc>
          <w:tcPr>
            <w:tcW w:w="2160" w:type="dxa"/>
          </w:tcPr>
          <w:p w14:paraId="17B51F0D" w14:textId="77777777" w:rsidR="00B03AAE" w:rsidRDefault="00000000">
            <w:r>
              <w:t>Media reuse only after verified sanitation</w:t>
            </w:r>
          </w:p>
        </w:tc>
      </w:tr>
    </w:tbl>
    <w:p w14:paraId="14C0DD12" w14:textId="77777777" w:rsidR="00B03AAE" w:rsidRDefault="00000000">
      <w:pPr>
        <w:pStyle w:val="Heading2"/>
      </w:pPr>
      <w:r>
        <w:t>7. Legal and Regulatory Requirements</w:t>
      </w:r>
    </w:p>
    <w:p w14:paraId="45EDAD71" w14:textId="77777777" w:rsidR="00B03AAE" w:rsidRDefault="00000000">
      <w:r>
        <w:t>Retention periods must comply with applicable laws, regulations, standards, and contracts (e.g., tax, employment, privacy, and industry-specific rules). When requirements conflict, the stricter requirement applies.</w:t>
      </w:r>
    </w:p>
    <w:p w14:paraId="4A23A0D7" w14:textId="77777777" w:rsidR="00B03AAE" w:rsidRDefault="00000000">
      <w:pPr>
        <w:pStyle w:val="Heading2"/>
      </w:pPr>
      <w:r>
        <w:lastRenderedPageBreak/>
        <w:t>8. Storage, Backups, and Archiving</w:t>
      </w:r>
    </w:p>
    <w:p w14:paraId="53DE3B4F" w14:textId="77777777" w:rsidR="00B03AAE" w:rsidRDefault="00000000">
      <w:r>
        <w:t>Backups must be encrypted and follow documented retention schedules (e.g., daily/weekly/monthly rotations). Backup copies inherit the retention of their source data. Destruction of expired data must include destruction of all associated backup copies by schedule, except where prohibited by legal hold.</w:t>
      </w:r>
    </w:p>
    <w:p w14:paraId="0F96326C" w14:textId="77777777" w:rsidR="00B03AAE" w:rsidRDefault="00000000">
      <w:pPr>
        <w:pStyle w:val="Heading2"/>
      </w:pPr>
      <w:r>
        <w:t>9. Destruction Methods</w:t>
      </w:r>
    </w:p>
    <w:p w14:paraId="10192238" w14:textId="77777777" w:rsidR="00B03AAE" w:rsidRDefault="00000000">
      <w:r>
        <w:t>Approved destruction methods by media type include:</w:t>
      </w:r>
    </w:p>
    <w:p w14:paraId="2F426EAD" w14:textId="77777777" w:rsidR="00B03AAE" w:rsidRDefault="00000000">
      <w:pPr>
        <w:pStyle w:val="ListBullet"/>
      </w:pPr>
      <w:r>
        <w:t>Electronic media (HDD/SSD, tapes, removable media): cryptographic erase, secure wipe, or physical destruction by certified vendor.</w:t>
      </w:r>
    </w:p>
    <w:p w14:paraId="229C9C65" w14:textId="77777777" w:rsidR="00B03AAE" w:rsidRDefault="00000000">
      <w:pPr>
        <w:pStyle w:val="ListBullet"/>
      </w:pPr>
      <w:r>
        <w:t>Cloud storage/virtual volumes: provider-supported secure deletion, crypto key destruction, and verification via API logs or certificates.</w:t>
      </w:r>
    </w:p>
    <w:p w14:paraId="6D289559" w14:textId="77777777" w:rsidR="00B03AAE" w:rsidRDefault="00000000">
      <w:pPr>
        <w:pStyle w:val="ListBullet"/>
      </w:pPr>
      <w:r>
        <w:t>Paper records: cross-cut shredding, pulping, or incineration via certified vendor.</w:t>
      </w:r>
    </w:p>
    <w:p w14:paraId="48F65C2F" w14:textId="77777777" w:rsidR="00B03AAE" w:rsidRDefault="00000000">
      <w:pPr>
        <w:pStyle w:val="ListBullet"/>
      </w:pPr>
      <w:r>
        <w:t>Portable devices: factory reset plus MDM wipe and verification; remove from inventory after proof of wipe.</w:t>
      </w:r>
    </w:p>
    <w:p w14:paraId="2E3B63CC" w14:textId="77777777" w:rsidR="00B03AAE" w:rsidRDefault="00000000">
      <w:pPr>
        <w:pStyle w:val="Heading2"/>
      </w:pPr>
      <w:r>
        <w:t>10. Authorization, Verification, and Evidence</w:t>
      </w:r>
    </w:p>
    <w:p w14:paraId="37705217" w14:textId="77777777" w:rsidR="00B03AAE" w:rsidRDefault="00000000">
      <w:r>
        <w:t>Destruction of data reaching end-of-life must be authorized by the Data Owner (and Legal when required). All destruction events must be logged and, when handled by vendors, accompanied by a Certificate of Destruction. Verification may include spot checks, hash comparisons, or storage inventory reconciliation.</w:t>
      </w:r>
    </w:p>
    <w:p w14:paraId="6B0A130C" w14:textId="77777777" w:rsidR="00B03AAE" w:rsidRDefault="00000000">
      <w:pPr>
        <w:pStyle w:val="Heading2"/>
      </w:pPr>
      <w:r>
        <w:t>11. Legal Holds and Suspensions</w:t>
      </w:r>
    </w:p>
    <w:p w14:paraId="7C899344" w14:textId="77777777" w:rsidR="00B03AAE" w:rsidRDefault="00000000">
      <w:r>
        <w:t>When Legal issues a litigation hold or regulatory suspension, destruction of affected records and backups is paused. Holds remain until Legal provides written release. Departments are responsible for preserving relevant records.</w:t>
      </w:r>
    </w:p>
    <w:p w14:paraId="44E384B9" w14:textId="77777777" w:rsidR="00B03AAE" w:rsidRDefault="00000000">
      <w:pPr>
        <w:pStyle w:val="Heading2"/>
      </w:pPr>
      <w:r>
        <w:t>12. Data Subject and Customer Requests</w:t>
      </w:r>
    </w:p>
    <w:p w14:paraId="67679222" w14:textId="77777777" w:rsidR="00B03AAE" w:rsidRDefault="00000000">
      <w:r>
        <w:t>Requests to delete or export personal data (e.g., under GDPR/CCPA) are processed per the Company’s Privacy Program. Deletion is performed unless retention is required by law or contract; conflicts are escalated to Legal/Compliance.</w:t>
      </w:r>
    </w:p>
    <w:p w14:paraId="0B5E15E5" w14:textId="77777777" w:rsidR="00B03AAE" w:rsidRDefault="00000000">
      <w:pPr>
        <w:pStyle w:val="Heading2"/>
      </w:pPr>
      <w:r>
        <w:t>13. Third-Party Processors</w:t>
      </w:r>
    </w:p>
    <w:p w14:paraId="337AA91D" w14:textId="77777777" w:rsidR="00B03AAE" w:rsidRDefault="00000000">
      <w:r>
        <w:t>Vendors handling Company data must implement equivalent retention and destruction controls and provide attestations or Certificates of Destruction upon request. Contracts must include data return/erasure clauses at termination.</w:t>
      </w:r>
    </w:p>
    <w:p w14:paraId="03B69CD9" w14:textId="77777777" w:rsidR="00B03AAE" w:rsidRDefault="00000000">
      <w:pPr>
        <w:pStyle w:val="Heading2"/>
      </w:pPr>
      <w:r>
        <w:t>14. Training and Awareness</w:t>
      </w:r>
    </w:p>
    <w:p w14:paraId="0FABE61C" w14:textId="77777777" w:rsidR="00B03AAE" w:rsidRDefault="00000000">
      <w:r>
        <w:t>Employees receive training on data classification, retention, and destruction procedures as part of onboarding and annually thereafter.</w:t>
      </w:r>
    </w:p>
    <w:p w14:paraId="50A77944" w14:textId="77777777" w:rsidR="00B03AAE" w:rsidRDefault="00000000">
      <w:pPr>
        <w:pStyle w:val="Heading2"/>
      </w:pPr>
      <w:r>
        <w:lastRenderedPageBreak/>
        <w:t>15. Exceptions</w:t>
      </w:r>
    </w:p>
    <w:p w14:paraId="43E40F47" w14:textId="77777777" w:rsidR="00B03AAE" w:rsidRDefault="00000000">
      <w:r>
        <w:t>Exceptions to this Policy require documented approval from the ISO and Legal/Compliance, including justification, scope, and duration.</w:t>
      </w:r>
    </w:p>
    <w:p w14:paraId="1F2AEE03" w14:textId="77777777" w:rsidR="00B03AAE" w:rsidRDefault="00000000">
      <w:pPr>
        <w:pStyle w:val="Heading2"/>
      </w:pPr>
      <w:r>
        <w:t>16. Review and Maintenance</w:t>
      </w:r>
    </w:p>
    <w:p w14:paraId="4CF9AD0D" w14:textId="77777777" w:rsidR="00B03AAE" w:rsidRDefault="00000000">
      <w:r>
        <w:t>This Policy is reviewed at least annually or upon significant organizational or regulatory changes. Updates are approved by Executive Management and communicated to stakeholders.</w:t>
      </w:r>
    </w:p>
    <w:p w14:paraId="605F0F23" w14:textId="3A01BAB2" w:rsidR="00B03AAE" w:rsidRDefault="009B0D82">
      <w:pPr>
        <w:pStyle w:val="Heading2"/>
      </w:pPr>
      <w:r>
        <w:t>17</w:t>
      </w:r>
      <w:r w:rsidR="00000000">
        <w:t>. Contact</w:t>
      </w:r>
    </w:p>
    <w:p w14:paraId="39D49811" w14:textId="77777777" w:rsidR="00B03AAE" w:rsidRDefault="00000000">
      <w:r>
        <w:t>Charles Weed</w:t>
      </w:r>
      <w:r>
        <w:br/>
        <w:t>Email: info@kingfieldsoftware.com</w:t>
      </w:r>
      <w:r>
        <w:br/>
        <w:t>Phone: (651) 398-7580</w:t>
      </w:r>
    </w:p>
    <w:sectPr w:rsidR="00B03A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6380813">
    <w:abstractNumId w:val="8"/>
  </w:num>
  <w:num w:numId="2" w16cid:durableId="1002003743">
    <w:abstractNumId w:val="6"/>
  </w:num>
  <w:num w:numId="3" w16cid:durableId="337118553">
    <w:abstractNumId w:val="5"/>
  </w:num>
  <w:num w:numId="4" w16cid:durableId="1017197426">
    <w:abstractNumId w:val="4"/>
  </w:num>
  <w:num w:numId="5" w16cid:durableId="1126701666">
    <w:abstractNumId w:val="7"/>
  </w:num>
  <w:num w:numId="6" w16cid:durableId="444547500">
    <w:abstractNumId w:val="3"/>
  </w:num>
  <w:num w:numId="7" w16cid:durableId="574164955">
    <w:abstractNumId w:val="2"/>
  </w:num>
  <w:num w:numId="8" w16cid:durableId="2062510728">
    <w:abstractNumId w:val="1"/>
  </w:num>
  <w:num w:numId="9" w16cid:durableId="75053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E2123"/>
    <w:rsid w:val="009B0D82"/>
    <w:rsid w:val="00AA1D8D"/>
    <w:rsid w:val="00B03AAE"/>
    <w:rsid w:val="00B47730"/>
    <w:rsid w:val="00CB0664"/>
    <w:rsid w:val="00D030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D373C"/>
  <w14:defaultImageDpi w14:val="300"/>
  <w15:docId w15:val="{437510CB-41C6-4456-BCC9-C8000F0D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Weed</cp:lastModifiedBy>
  <cp:revision>2</cp:revision>
  <dcterms:created xsi:type="dcterms:W3CDTF">2013-12-23T23:15:00Z</dcterms:created>
  <dcterms:modified xsi:type="dcterms:W3CDTF">2025-10-29T22:40:00Z</dcterms:modified>
  <cp:category/>
</cp:coreProperties>
</file>