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Encryption Policy</w:t>
      </w:r>
    </w:p>
    <w:p>
      <w:r>
        <w:t>Effective Date: October 30, 2025</w:t>
        <w:br/>
        <w:t>Applies To: All systems, applications, and data managed by Kingfield Software.</w:t>
      </w:r>
    </w:p>
    <w:p>
      <w:pPr>
        <w:pStyle w:val="Heading2"/>
      </w:pPr>
      <w:r>
        <w:t>1. Purpose</w:t>
      </w:r>
    </w:p>
    <w:p>
      <w:r>
        <w:t>The purpose of this Encryption Policy is to establish requirements for the use of encryption to protect the confidentiality and integrity of data managed, transmitted, or stored by Kingfield Software. Encryption ensures that sensitive information remains secure from unauthorized disclosure or alteration.</w:t>
      </w:r>
    </w:p>
    <w:p>
      <w:pPr>
        <w:pStyle w:val="Heading2"/>
      </w:pPr>
      <w:r>
        <w:t>2. Scope</w:t>
      </w:r>
    </w:p>
    <w:p>
      <w:r>
        <w:t>This Policy applies to all information systems, applications, and data handled by the Company, including data in transit and data at rest. It applies to employees, contractors, vendors, and any third parties who access or store Company data.</w:t>
      </w:r>
    </w:p>
    <w:p>
      <w:pPr>
        <w:pStyle w:val="Heading2"/>
      </w:pPr>
      <w:r>
        <w:t>3. Objectives</w:t>
      </w:r>
    </w:p>
    <w:p>
      <w:pPr>
        <w:pStyle w:val="ListBullet"/>
      </w:pPr>
      <w:r>
        <w:t>Ensure appropriate encryption methods are used for protecting sensitive and regulated information.</w:t>
      </w:r>
    </w:p>
    <w:p>
      <w:pPr>
        <w:pStyle w:val="ListBullet"/>
      </w:pPr>
      <w:r>
        <w:t>Define standards for key management and cryptographic implementation.</w:t>
      </w:r>
    </w:p>
    <w:p>
      <w:pPr>
        <w:pStyle w:val="ListBullet"/>
      </w:pPr>
      <w:r>
        <w:t>Support compliance with applicable legal and regulatory requirements (e.g., GDPR, HIPAA, PCI DSS).</w:t>
      </w:r>
    </w:p>
    <w:p>
      <w:pPr>
        <w:pStyle w:val="ListBullet"/>
      </w:pPr>
      <w:r>
        <w:t>Reduce the risk of data breaches or exposure through encryption failures.</w:t>
      </w:r>
    </w:p>
    <w:p>
      <w:pPr>
        <w:pStyle w:val="Heading2"/>
      </w:pPr>
      <w:r>
        <w:t>4. Data Classification and Encryption Requirements</w:t>
      </w:r>
    </w:p>
    <w:p>
      <w:r>
        <w:t>Encryption requirements are determined based on the data’s classification level, following the Company’s Data Classification &amp; Handling Policy:</w:t>
      </w:r>
    </w:p>
    <w:p>
      <w:pPr>
        <w:pStyle w:val="ListBullet"/>
      </w:pPr>
      <w:r>
        <w:t>Restricted Data: Must be encrypted both at rest and in transit using approved algorithms (e.g., AES-256, TLS 1.2+).</w:t>
      </w:r>
    </w:p>
    <w:p>
      <w:pPr>
        <w:pStyle w:val="ListBullet"/>
      </w:pPr>
      <w:r>
        <w:t>Confidential Data: Must be encrypted in transit and should be encrypted at rest when feasible.</w:t>
      </w:r>
    </w:p>
    <w:p>
      <w:pPr>
        <w:pStyle w:val="ListBullet"/>
      </w:pPr>
      <w:r>
        <w:t>Internal Data: Encryption is recommended in transit; at-rest encryption is at the discretion of system owners.</w:t>
      </w:r>
    </w:p>
    <w:p>
      <w:pPr>
        <w:pStyle w:val="ListBullet"/>
      </w:pPr>
      <w:r>
        <w:t>Public Data: Encryption is optional but encouraged for integrity protection.</w:t>
      </w:r>
    </w:p>
    <w:p>
      <w:pPr>
        <w:pStyle w:val="Heading2"/>
      </w:pPr>
      <w:r>
        <w:t>5. Encryption Standards</w:t>
      </w:r>
    </w:p>
    <w:p>
      <w:r>
        <w:t>All cryptographic implementations must adhere to the following standards:</w:t>
      </w:r>
    </w:p>
    <w:p>
      <w:pPr>
        <w:pStyle w:val="ListBullet"/>
      </w:pPr>
      <w:r>
        <w:t>Symmetric Encryption: AES-128 or stronger (preferred: AES-256).</w:t>
      </w:r>
    </w:p>
    <w:p>
      <w:pPr>
        <w:pStyle w:val="ListBullet"/>
      </w:pPr>
      <w:r>
        <w:t>Asymmetric Encryption: RSA 2048-bit or ECC P-256 or stronger.</w:t>
      </w:r>
    </w:p>
    <w:p>
      <w:pPr>
        <w:pStyle w:val="ListBullet"/>
      </w:pPr>
      <w:r>
        <w:t>Hashing: SHA-256 or stronger for integrity checks (MD5 and SHA-1 are prohibited).</w:t>
      </w:r>
    </w:p>
    <w:p>
      <w:pPr>
        <w:pStyle w:val="ListBullet"/>
      </w:pPr>
      <w:r>
        <w:t>Transport Encryption: TLS 1.2 or higher for all network communications containing sensitive data.</w:t>
      </w:r>
    </w:p>
    <w:p>
      <w:pPr>
        <w:pStyle w:val="ListBullet"/>
      </w:pPr>
      <w:r>
        <w:t>Email Encryption: Use S/MIME, TLS, or equivalent secure methods for transmitting sensitive content.</w:t>
      </w:r>
    </w:p>
    <w:p>
      <w:pPr>
        <w:pStyle w:val="Heading2"/>
      </w:pPr>
      <w:r>
        <w:t>6. Key Management</w:t>
      </w:r>
    </w:p>
    <w:p>
      <w:r>
        <w:t>Encryption keys must be generated, distributed, stored, rotated, and destroyed according to secure key management principles. Keys must not be hard-coded into applications or stored in plaintext. Approved key management systems (e.g., AWS KMS, Azure Key Vault) must be used.</w:t>
      </w:r>
    </w:p>
    <w:p>
      <w:pPr>
        <w:pStyle w:val="ListBullet"/>
      </w:pPr>
      <w:r>
        <w:t>Keys must be rotated at least annually or immediately following a suspected compromise.</w:t>
      </w:r>
    </w:p>
    <w:p>
      <w:pPr>
        <w:pStyle w:val="ListBullet"/>
      </w:pPr>
      <w:r>
        <w:t>Access to encryption keys must be limited to authorized personnel on a need-to-know basis.</w:t>
      </w:r>
    </w:p>
    <w:p>
      <w:pPr>
        <w:pStyle w:val="ListBullet"/>
      </w:pPr>
      <w:r>
        <w:t>Key backups must be encrypted and stored separately from the data they protect.</w:t>
      </w:r>
    </w:p>
    <w:p>
      <w:pPr>
        <w:pStyle w:val="ListBullet"/>
      </w:pPr>
      <w:r>
        <w:t>Encryption keys must not be transmitted through unsecured channels such as email or chat.</w:t>
      </w:r>
    </w:p>
    <w:p>
      <w:pPr>
        <w:pStyle w:val="Heading2"/>
      </w:pPr>
      <w:r>
        <w:t>7. Data in Transit</w:t>
      </w:r>
    </w:p>
    <w:p>
      <w:r>
        <w:t>All sensitive or confidential data transmitted over public or untrusted networks must be encrypted using TLS 1.2+ or an equivalent secure protocol. Legacy or insecure protocols (e.g., FTP, Telnet, HTTP, SSLv3) must not be used.</w:t>
      </w:r>
    </w:p>
    <w:p>
      <w:pPr>
        <w:pStyle w:val="Heading2"/>
      </w:pPr>
      <w:r>
        <w:t>8. Data at Rest</w:t>
      </w:r>
    </w:p>
    <w:p>
      <w:r>
        <w:t>Data stored on servers, databases, endpoints, removable media, or cloud storage must be encrypted using industry-standard algorithms (AES-256 or stronger). Disk-level encryption and database encryption mechanisms should be implemented where supported.</w:t>
      </w:r>
    </w:p>
    <w:p>
      <w:pPr>
        <w:pStyle w:val="Heading2"/>
      </w:pPr>
      <w:r>
        <w:t>9. Cloud Services and Third Parties</w:t>
      </w:r>
    </w:p>
    <w:p>
      <w:r>
        <w:t>All third-party and cloud service providers storing or processing Company data must implement encryption controls consistent with this Policy. Service agreements must specify encryption responsibilities and compliance requirements.</w:t>
      </w:r>
    </w:p>
    <w:p>
      <w:pPr>
        <w:pStyle w:val="Heading2"/>
      </w:pPr>
      <w:r>
        <w:t>10. Key Escrow and Recovery</w:t>
      </w:r>
    </w:p>
    <w:p>
      <w:r>
        <w:t>Where key escrow or recovery is required, it must be implemented securely using approved mechanisms. Recovery processes must ensure only authorized personnel can retrieve encryption keys or decrypt data.</w:t>
      </w:r>
    </w:p>
    <w:p>
      <w:pPr>
        <w:pStyle w:val="Heading2"/>
      </w:pPr>
      <w:r>
        <w:t>11. Compliance and Audit</w:t>
      </w:r>
    </w:p>
    <w:p>
      <w:r>
        <w:t>Compliance with this Policy is verified through periodic reviews and audits. Audit results must be documented, and any deviations or weaknesses must be remediated promptly.</w:t>
      </w:r>
    </w:p>
    <w:p>
      <w:pPr>
        <w:pStyle w:val="Heading2"/>
      </w:pPr>
      <w:r>
        <w:t>12. Policy Review and Maintenance</w:t>
      </w:r>
    </w:p>
    <w:p>
      <w:r>
        <w:t>This Policy is reviewed annually or when significant changes to cryptographic standards, technologies, or regulations occur. Updates must be approved by executive management and communicated to relevant stakeholders.</w:t>
      </w:r>
    </w:p>
    <w:p>
      <w:pPr>
        <w:pStyle w:val="Heading2"/>
      </w:pPr>
      <w:r>
        <w:t>13.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